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CF542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412875" cy="1315085"/>
            <wp:effectExtent l="0" t="0" r="15875" b="1841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71930">
      <w:pPr>
        <w:spacing w:before="190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93964">
      <w:pPr>
        <w:pStyle w:val="2"/>
        <w:spacing w:before="280" w:line="189" w:lineRule="auto"/>
        <w:ind w:left="545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MEK1 (D67N)</w:t>
      </w:r>
    </w:p>
    <w:p w14:paraId="71C2DF73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>: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26224</w:t>
      </w:r>
    </w:p>
    <w:p w14:paraId="24F0A4A9">
      <w:pPr>
        <w:pStyle w:val="2"/>
        <w:spacing w:before="122" w:line="308" w:lineRule="auto"/>
        <w:ind w:left="542" w:right="4051" w:firstLine="5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511810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Gene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3"/>
        </w:rPr>
        <w:t xml:space="preserve">: </w:t>
      </w:r>
      <w:r>
        <w:t>MAP</w:t>
      </w:r>
      <w:r>
        <w:rPr>
          <w:spacing w:val="13"/>
        </w:rPr>
        <w:t xml:space="preserve">2K1; </w:t>
      </w:r>
      <w:r>
        <w:t>MAPKK</w:t>
      </w:r>
      <w:r>
        <w:rPr>
          <w:spacing w:val="13"/>
        </w:rPr>
        <w:t xml:space="preserve">1; </w:t>
      </w:r>
      <w:r>
        <w:t>MEK</w:t>
      </w:r>
      <w:r>
        <w:rPr>
          <w:spacing w:val="13"/>
        </w:rPr>
        <w:t xml:space="preserve">1; </w:t>
      </w:r>
      <w:r>
        <w:t>MKK</w:t>
      </w:r>
      <w:r>
        <w:rPr>
          <w:spacing w:val="13"/>
        </w:rPr>
        <w:t xml:space="preserve">1; </w:t>
      </w:r>
      <w:r>
        <w:t>PRKMK</w:t>
      </w:r>
      <w:r>
        <w:rPr>
          <w:spacing w:val="13"/>
        </w:rPr>
        <w:t>1</w:t>
      </w:r>
      <w:r>
        <w:rPr>
          <w:spacing w:val="14"/>
          <w:w w:val="101"/>
        </w:rPr>
        <w:t xml:space="preserve"> </w:t>
      </w:r>
      <w:r>
        <w:rPr>
          <w:b/>
          <w:bCs/>
        </w:rPr>
        <w:t>Description</w:t>
      </w:r>
      <w:r>
        <w:rPr>
          <w:b/>
          <w:bCs/>
          <w:spacing w:val="19"/>
        </w:rPr>
        <w:t xml:space="preserve">: </w:t>
      </w:r>
      <w:r>
        <w:t>Anti</w:t>
      </w:r>
      <w:r>
        <w:rPr>
          <w:spacing w:val="19"/>
        </w:rPr>
        <w:t>-</w:t>
      </w:r>
      <w:r>
        <w:t>MEK</w:t>
      </w:r>
      <w:r>
        <w:rPr>
          <w:spacing w:val="19"/>
        </w:rPr>
        <w:t xml:space="preserve">1 (D67N) </w:t>
      </w:r>
      <w:r>
        <w:t>Mouse</w:t>
      </w:r>
      <w:r>
        <w:rPr>
          <w:spacing w:val="19"/>
        </w:rPr>
        <w:t xml:space="preserve"> </w:t>
      </w:r>
      <w:r>
        <w:t>Monoclonal</w:t>
      </w:r>
      <w:r>
        <w:rPr>
          <w:spacing w:val="-6"/>
        </w:rPr>
        <w:t xml:space="preserve"> </w:t>
      </w:r>
      <w:r>
        <w:t>Antibody</w:t>
      </w:r>
    </w:p>
    <w:p w14:paraId="133E6120">
      <w:pPr>
        <w:spacing w:before="39"/>
      </w:pPr>
    </w:p>
    <w:p w14:paraId="1C46E339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6D2F292C">
      <w:pPr>
        <w:pStyle w:val="2"/>
        <w:spacing w:before="38" w:line="201" w:lineRule="auto"/>
        <w:ind w:left="544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MEK1 (also known</w:t>
      </w:r>
      <w:r>
        <w:rPr>
          <w:spacing w:val="17"/>
          <w:w w:val="101"/>
        </w:rPr>
        <w:t xml:space="preserve"> </w:t>
      </w:r>
      <w:r>
        <w:rPr>
          <w:spacing w:val="4"/>
        </w:rPr>
        <w:t>as</w:t>
      </w:r>
    </w:p>
    <w:p w14:paraId="626D3EFD">
      <w:pPr>
        <w:pStyle w:val="2"/>
        <w:spacing w:before="120" w:line="201" w:lineRule="auto"/>
        <w:ind w:left="547"/>
      </w:pPr>
      <w:r>
        <w:rPr>
          <w:spacing w:val="4"/>
        </w:rPr>
        <w:t>extracellular signal-regulated kin</w:t>
      </w:r>
      <w:r>
        <w:rPr>
          <w:spacing w:val="3"/>
        </w:rPr>
        <w:t>ases, ERKs)</w:t>
      </w:r>
    </w:p>
    <w:p w14:paraId="0233591B">
      <w:pPr>
        <w:pStyle w:val="2"/>
        <w:spacing w:before="121" w:line="314" w:lineRule="auto"/>
        <w:ind w:left="540" w:right="459" w:hanging="1"/>
      </w:pPr>
      <w:r>
        <w:rPr>
          <w:spacing w:val="4"/>
        </w:rPr>
        <w:t>plays important role in the MAP kinase casca</w:t>
      </w:r>
      <w:r>
        <w:rPr>
          <w:spacing w:val="3"/>
        </w:rPr>
        <w:t>de,</w:t>
      </w:r>
      <w:r>
        <w:t xml:space="preserve"> </w:t>
      </w:r>
      <w:r>
        <w:rPr>
          <w:spacing w:val="4"/>
        </w:rPr>
        <w:t>which transduces multiple extracellular si</w:t>
      </w:r>
      <w:r>
        <w:rPr>
          <w:spacing w:val="3"/>
        </w:rPr>
        <w:t>gnals</w:t>
      </w:r>
      <w:r>
        <w:t xml:space="preserve">   </w:t>
      </w:r>
      <w:r>
        <w:rPr>
          <w:spacing w:val="4"/>
        </w:rPr>
        <w:t>to control cell growth,</w:t>
      </w:r>
      <w:r>
        <w:rPr>
          <w:spacing w:val="3"/>
        </w:rPr>
        <w:t xml:space="preserve"> proliferation</w:t>
      </w:r>
      <w:r>
        <w:rPr>
          <w:spacing w:val="12"/>
        </w:rPr>
        <w:t xml:space="preserve"> </w:t>
      </w:r>
      <w:r>
        <w:rPr>
          <w:spacing w:val="3"/>
        </w:rPr>
        <w:t>and</w:t>
      </w:r>
    </w:p>
    <w:p w14:paraId="50AE8202">
      <w:pPr>
        <w:pStyle w:val="2"/>
        <w:spacing w:before="32" w:line="309" w:lineRule="auto"/>
        <w:ind w:left="549" w:right="672" w:hanging="3"/>
      </w:pPr>
      <w:r>
        <w:rPr>
          <w:spacing w:val="4"/>
        </w:rPr>
        <w:t>differentiation.</w:t>
      </w:r>
      <w:r>
        <w:rPr>
          <w:spacing w:val="-9"/>
        </w:rPr>
        <w:t xml:space="preserve"> </w:t>
      </w:r>
      <w:r>
        <w:rPr>
          <w:spacing w:val="4"/>
        </w:rPr>
        <w:t>Activated upon gr</w:t>
      </w:r>
      <w:r>
        <w:rPr>
          <w:spacing w:val="3"/>
        </w:rPr>
        <w:t>owth factors</w:t>
      </w:r>
      <w:r>
        <w:t xml:space="preserve"> </w:t>
      </w:r>
      <w:r>
        <w:rPr>
          <w:spacing w:val="4"/>
        </w:rPr>
        <w:t>stimulation, MEK1 phosphoryla</w:t>
      </w:r>
      <w:r>
        <w:rPr>
          <w:spacing w:val="3"/>
        </w:rPr>
        <w:t>tes</w:t>
      </w:r>
    </w:p>
    <w:p w14:paraId="302D11A4">
      <w:pPr>
        <w:pStyle w:val="2"/>
        <w:spacing w:before="32" w:line="200" w:lineRule="auto"/>
        <w:ind w:left="543"/>
      </w:pPr>
      <w:r>
        <w:t>MAPK</w:t>
      </w:r>
      <w:r>
        <w:rPr>
          <w:spacing w:val="16"/>
        </w:rPr>
        <w:t>3/</w:t>
      </w:r>
      <w:r>
        <w:t>ERK</w:t>
      </w:r>
      <w:r>
        <w:rPr>
          <w:spacing w:val="16"/>
        </w:rPr>
        <w:t xml:space="preserve">1 </w:t>
      </w:r>
      <w:r>
        <w:t>and</w:t>
      </w:r>
      <w:r>
        <w:rPr>
          <w:spacing w:val="16"/>
        </w:rPr>
        <w:t xml:space="preserve"> </w:t>
      </w:r>
      <w:r>
        <w:t>MAPK</w:t>
      </w:r>
      <w:r>
        <w:rPr>
          <w:spacing w:val="16"/>
        </w:rPr>
        <w:t>1/</w:t>
      </w:r>
      <w:r>
        <w:t>ERK</w:t>
      </w:r>
      <w:r>
        <w:rPr>
          <w:spacing w:val="16"/>
        </w:rPr>
        <w:t xml:space="preserve">2, </w:t>
      </w:r>
      <w:r>
        <w:t>thus</w:t>
      </w:r>
    </w:p>
    <w:p w14:paraId="43D39BE1">
      <w:pPr>
        <w:pStyle w:val="2"/>
        <w:spacing w:before="120" w:line="201" w:lineRule="auto"/>
        <w:ind w:left="547"/>
      </w:pPr>
      <w:r>
        <w:rPr>
          <w:spacing w:val="4"/>
        </w:rPr>
        <w:t>activates the MAP pathway an</w:t>
      </w:r>
      <w:r>
        <w:rPr>
          <w:spacing w:val="3"/>
        </w:rPr>
        <w:t>d regulates</w:t>
      </w:r>
    </w:p>
    <w:p w14:paraId="6C4AF5AF">
      <w:pPr>
        <w:pStyle w:val="2"/>
        <w:spacing w:before="119" w:line="201" w:lineRule="auto"/>
        <w:ind w:left="542"/>
      </w:pPr>
      <w:r>
        <w:rPr>
          <w:spacing w:val="5"/>
        </w:rPr>
        <w:t>transcription.</w:t>
      </w:r>
      <w:r>
        <w:rPr>
          <w:spacing w:val="-7"/>
        </w:rPr>
        <w:t xml:space="preserve"> </w:t>
      </w:r>
      <w:r>
        <w:rPr>
          <w:spacing w:val="5"/>
        </w:rPr>
        <w:t>Abnormal o</w:t>
      </w:r>
      <w:r>
        <w:rPr>
          <w:spacing w:val="4"/>
        </w:rPr>
        <w:t>f</w:t>
      </w:r>
      <w:r>
        <w:rPr>
          <w:spacing w:val="-16"/>
        </w:rPr>
        <w:t xml:space="preserve"> </w:t>
      </w:r>
      <w:r>
        <w:rPr>
          <w:spacing w:val="4"/>
        </w:rPr>
        <w:t>the MEK1 protein,</w:t>
      </w:r>
    </w:p>
    <w:p w14:paraId="11FE2CA5">
      <w:pPr>
        <w:pStyle w:val="2"/>
        <w:spacing w:before="119" w:line="201" w:lineRule="auto"/>
        <w:ind w:left="546"/>
      </w:pPr>
      <w:r>
        <w:rPr>
          <w:spacing w:val="4"/>
        </w:rPr>
        <w:t>including point mutations, are i</w:t>
      </w:r>
      <w:r>
        <w:rPr>
          <w:spacing w:val="3"/>
        </w:rPr>
        <w:t>mplicated in</w:t>
      </w:r>
    </w:p>
    <w:p w14:paraId="28239EC8">
      <w:pPr>
        <w:pStyle w:val="2"/>
        <w:spacing w:before="120" w:line="309" w:lineRule="auto"/>
        <w:ind w:left="547" w:right="452" w:hanging="1"/>
      </w:pPr>
      <w:r>
        <w:rPr>
          <w:spacing w:val="4"/>
        </w:rPr>
        <w:t>diseases such as cardiofaciocutaneou</w:t>
      </w:r>
      <w:r>
        <w:rPr>
          <w:spacing w:val="3"/>
        </w:rPr>
        <w:t>s</w:t>
      </w:r>
      <w:r>
        <w:rPr>
          <w:spacing w:val="13"/>
          <w:w w:val="101"/>
        </w:rPr>
        <w:t xml:space="preserve"> </w:t>
      </w:r>
      <w:r>
        <w:rPr>
          <w:spacing w:val="3"/>
        </w:rPr>
        <w:t>syndrome</w:t>
      </w:r>
      <w:r>
        <w:t xml:space="preserve"> </w:t>
      </w:r>
      <w:r>
        <w:rPr>
          <w:spacing w:val="15"/>
        </w:rPr>
        <w:t>(</w:t>
      </w:r>
      <w:r>
        <w:t>CFC</w:t>
      </w:r>
      <w:r>
        <w:rPr>
          <w:spacing w:val="15"/>
        </w:rPr>
        <w:t xml:space="preserve">) </w:t>
      </w:r>
      <w:r>
        <w:t>and</w:t>
      </w:r>
      <w:r>
        <w:rPr>
          <w:spacing w:val="15"/>
        </w:rPr>
        <w:t xml:space="preserve"> </w:t>
      </w:r>
      <w:r>
        <w:t>melanoma</w:t>
      </w:r>
      <w:r>
        <w:rPr>
          <w:spacing w:val="15"/>
        </w:rPr>
        <w:t>.</w:t>
      </w:r>
    </w:p>
    <w:p w14:paraId="531C92A8">
      <w:pPr>
        <w:pStyle w:val="2"/>
        <w:spacing w:before="34" w:line="314" w:lineRule="auto"/>
        <w:ind w:left="541" w:right="815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  </w:t>
      </w:r>
      <w:r>
        <w:rPr>
          <w:spacing w:val="5"/>
        </w:rPr>
        <w:t>internal region of</w:t>
      </w:r>
      <w:r>
        <w:rPr>
          <w:spacing w:val="-15"/>
        </w:rPr>
        <w:t xml:space="preserve"> </w:t>
      </w:r>
      <w:r>
        <w:rPr>
          <w:spacing w:val="5"/>
        </w:rPr>
        <w:t>MEK1</w:t>
      </w:r>
      <w:r>
        <w:rPr>
          <w:spacing w:val="4"/>
        </w:rPr>
        <w:t xml:space="preserve"> which includes the</w:t>
      </w:r>
      <w:r>
        <w:t xml:space="preserve"> mutation</w:t>
      </w:r>
      <w:r>
        <w:rPr>
          <w:spacing w:val="1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D</w:t>
      </w:r>
      <w:r>
        <w:rPr>
          <w:spacing w:val="18"/>
        </w:rPr>
        <w:t xml:space="preserve">67N, </w:t>
      </w:r>
      <w:r>
        <w:t>human</w:t>
      </w:r>
      <w:r>
        <w:rPr>
          <w:spacing w:val="18"/>
        </w:rPr>
        <w:t xml:space="preserve"> </w:t>
      </w:r>
      <w:r>
        <w:t>origin</w:t>
      </w:r>
      <w:r>
        <w:rPr>
          <w:spacing w:val="18"/>
        </w:rPr>
        <w:t>.</w:t>
      </w:r>
    </w:p>
    <w:p w14:paraId="2ADAA26E">
      <w:pPr>
        <w:pStyle w:val="2"/>
        <w:spacing w:before="35" w:line="304" w:lineRule="auto"/>
        <w:ind w:left="543" w:right="1188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61F40F75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1:1000-1:2000</w:t>
      </w:r>
    </w:p>
    <w:p w14:paraId="11426CAC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36FCA8C7">
      <w:pPr>
        <w:pStyle w:val="2"/>
        <w:spacing w:before="126" w:line="195" w:lineRule="auto"/>
        <w:ind w:left="545"/>
      </w:pPr>
      <w:r>
        <w:t>IHC</w:t>
      </w:r>
      <w:r>
        <w:rPr>
          <w:spacing w:val="2"/>
        </w:rPr>
        <w:t>:</w:t>
      </w:r>
      <w:r>
        <w:rPr>
          <w:spacing w:val="6"/>
        </w:rPr>
        <w:t xml:space="preserve">        </w:t>
      </w:r>
      <w:r>
        <w:rPr>
          <w:spacing w:val="2"/>
        </w:rPr>
        <w:t>1:50-1:100</w:t>
      </w:r>
    </w:p>
    <w:p w14:paraId="41684CF9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72D96185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33F62483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04E9039B">
      <w:pPr>
        <w:pStyle w:val="2"/>
        <w:spacing w:before="120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038E1701">
      <w:pPr>
        <w:pStyle w:val="2"/>
        <w:spacing w:before="119" w:line="311" w:lineRule="auto"/>
        <w:ind w:left="550" w:right="3151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157C9439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048AC3FE">
      <w:pPr>
        <w:pStyle w:val="2"/>
        <w:spacing w:before="106" w:line="315" w:lineRule="auto"/>
        <w:ind w:left="547" w:right="516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58F71D50">
      <w:pPr>
        <w:pStyle w:val="2"/>
        <w:spacing w:before="36" w:line="309" w:lineRule="auto"/>
        <w:ind w:left="539" w:right="562" w:firstLine="11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 xml:space="preserve">Recognizes D67N mutant, </w:t>
      </w:r>
      <w:r>
        <w:rPr>
          <w:spacing w:val="5"/>
        </w:rPr>
        <w:t>but not wild-type MEK1 of</w:t>
      </w:r>
      <w:r>
        <w:rPr>
          <w:spacing w:val="-19"/>
        </w:rPr>
        <w:t xml:space="preserve"> </w:t>
      </w:r>
      <w:r>
        <w:rPr>
          <w:spacing w:val="5"/>
        </w:rPr>
        <w:t>ve</w:t>
      </w:r>
      <w:r>
        <w:rPr>
          <w:spacing w:val="4"/>
        </w:rPr>
        <w:t>rtebrates.</w:t>
      </w:r>
    </w:p>
    <w:p w14:paraId="1977AB4C">
      <w:pPr>
        <w:spacing w:line="32" w:lineRule="exact"/>
      </w:pPr>
    </w:p>
    <w:p w14:paraId="5DB781C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E289BDB">
      <w:pPr>
        <w:pStyle w:val="2"/>
        <w:spacing w:before="61" w:line="309" w:lineRule="auto"/>
        <w:ind w:left="8" w:right="1233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7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6DEDF623">
      <w:pPr>
        <w:pStyle w:val="2"/>
        <w:spacing w:before="39" w:line="192" w:lineRule="auto"/>
        <w:ind w:left="2"/>
      </w:pPr>
      <w:r>
        <w:rPr>
          <w:b/>
          <w:bCs/>
          <w:spacing w:val="3"/>
        </w:rPr>
        <w:t>Western blot:</w:t>
      </w:r>
    </w:p>
    <w:p w14:paraId="6B70897C">
      <w:pPr>
        <w:spacing w:before="116" w:line="3900" w:lineRule="exact"/>
        <w:ind w:firstLine="1094"/>
      </w:pPr>
      <w:r>
        <w:rPr>
          <w:position w:val="-78"/>
        </w:rPr>
        <w:drawing>
          <wp:inline distT="0" distB="0" distL="0" distR="0">
            <wp:extent cx="1541145" cy="24765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1779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66402">
      <w:pPr>
        <w:pStyle w:val="2"/>
        <w:spacing w:before="164" w:line="308" w:lineRule="auto"/>
        <w:ind w:left="8" w:right="897" w:hanging="6"/>
      </w:pPr>
      <w:r>
        <w:rPr>
          <w:b/>
          <w:bCs/>
          <w:spacing w:val="4"/>
        </w:rPr>
        <w:t>Western blot analysis of recombinant MEK1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13"/>
        </w:rPr>
        <w:t xml:space="preserve">(D67N) </w:t>
      </w:r>
      <w:r>
        <w:rPr>
          <w:b/>
          <w:bCs/>
        </w:rPr>
        <w:t>and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wildtype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3"/>
        </w:rPr>
        <w:t xml:space="preserve">. </w:t>
      </w:r>
      <w:r>
        <w:t>Purified</w:t>
      </w:r>
    </w:p>
    <w:p w14:paraId="4BADF67B">
      <w:pPr>
        <w:pStyle w:val="2"/>
        <w:spacing w:before="32" w:line="314" w:lineRule="auto"/>
        <w:ind w:right="933" w:firstLine="3"/>
      </w:pPr>
      <w:r>
        <w:t>His</w:t>
      </w:r>
      <w:r>
        <w:rPr>
          <w:spacing w:val="9"/>
        </w:rPr>
        <w:t>-</w:t>
      </w:r>
      <w:r>
        <w:t>tagged</w:t>
      </w:r>
      <w:r>
        <w:rPr>
          <w:spacing w:val="9"/>
        </w:rPr>
        <w:t xml:space="preserve"> </w:t>
      </w:r>
      <w:r>
        <w:t>MEK</w:t>
      </w:r>
      <w:r>
        <w:rPr>
          <w:spacing w:val="9"/>
        </w:rPr>
        <w:t>1</w:t>
      </w:r>
      <w:r>
        <w:rPr>
          <w:spacing w:val="21"/>
        </w:rPr>
        <w:t xml:space="preserve"> </w:t>
      </w:r>
      <w:r>
        <w:rPr>
          <w:spacing w:val="9"/>
        </w:rPr>
        <w:t xml:space="preserve">(D67N) </w:t>
      </w:r>
      <w:r>
        <w:t>protein</w:t>
      </w:r>
      <w:r>
        <w:rPr>
          <w:spacing w:val="9"/>
        </w:rPr>
        <w:t xml:space="preserve"> (</w:t>
      </w:r>
      <w:r>
        <w:t>lane</w:t>
      </w:r>
      <w:r>
        <w:rPr>
          <w:spacing w:val="28"/>
        </w:rPr>
        <w:t xml:space="preserve"> </w:t>
      </w:r>
      <w:r>
        <w:rPr>
          <w:spacing w:val="9"/>
        </w:rPr>
        <w:t xml:space="preserve">1) </w:t>
      </w:r>
      <w:r>
        <w:t xml:space="preserve">and </w:t>
      </w:r>
      <w:r>
        <w:rPr>
          <w:spacing w:val="4"/>
        </w:rPr>
        <w:t>corresponding wildtype protein (lane 2) were</w:t>
      </w:r>
      <w:r>
        <w:t xml:space="preserve">    blotted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anti</w:t>
      </w:r>
      <w:r>
        <w:rPr>
          <w:spacing w:val="14"/>
        </w:rPr>
        <w:t>-</w:t>
      </w:r>
      <w:r>
        <w:t>MEK</w:t>
      </w:r>
      <w:r>
        <w:rPr>
          <w:spacing w:val="14"/>
        </w:rPr>
        <w:t xml:space="preserve">1 (D67N) </w:t>
      </w:r>
      <w:r>
        <w:t>monoclonal</w:t>
      </w:r>
    </w:p>
    <w:p w14:paraId="64921D1C">
      <w:pPr>
        <w:pStyle w:val="2"/>
        <w:spacing w:before="32" w:line="201" w:lineRule="auto"/>
        <w:ind w:left="7"/>
      </w:pP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#26224).</w:t>
      </w:r>
    </w:p>
    <w:p w14:paraId="05CED0FD">
      <w:pPr>
        <w:spacing w:line="201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3" w:space="100"/>
            <w:col w:w="4888"/>
          </w:cols>
        </w:sectPr>
      </w:pPr>
    </w:p>
    <w:p w14:paraId="13509BE5">
      <w:pPr>
        <w:spacing w:line="379" w:lineRule="auto"/>
        <w:rPr>
          <w:rFonts w:ascii="Arial"/>
          <w:sz w:val="21"/>
        </w:rPr>
      </w:pPr>
    </w:p>
    <w:p w14:paraId="2E5D8975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12674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26F252CA">
      <w:pPr>
        <w:pStyle w:val="2"/>
        <w:spacing w:line="236" w:lineRule="auto"/>
        <w:ind w:left="2284"/>
      </w:pPr>
    </w:p>
    <w:p w14:paraId="207DFDBE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6361C578">
      <w:pPr>
        <w:spacing w:line="1305" w:lineRule="exact"/>
        <w:ind w:firstLine="540"/>
      </w:pPr>
    </w:p>
    <w:p w14:paraId="27394808">
      <w:pPr>
        <w:spacing w:before="190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41E12">
      <w:pPr>
        <w:spacing w:line="426" w:lineRule="auto"/>
        <w:rPr>
          <w:rFonts w:ascii="Arial"/>
          <w:sz w:val="21"/>
        </w:rPr>
      </w:pPr>
    </w:p>
    <w:p w14:paraId="719CAC03">
      <w:pPr>
        <w:pStyle w:val="2"/>
        <w:spacing w:before="57" w:line="195" w:lineRule="auto"/>
        <w:ind w:left="544"/>
      </w:pPr>
      <w:r>
        <w:rPr>
          <w:b/>
          <w:bCs/>
          <w:spacing w:val="4"/>
        </w:rPr>
        <w:t>Immunofluorescence:</w:t>
      </w:r>
    </w:p>
    <w:p w14:paraId="2D559EFE">
      <w:pPr>
        <w:spacing w:before="232" w:line="4038" w:lineRule="exact"/>
        <w:ind w:firstLine="699"/>
      </w:pPr>
      <w:r>
        <w:rPr>
          <w:position w:val="-80"/>
        </w:rPr>
        <w:drawing>
          <wp:inline distT="0" distB="0" distL="0" distR="0">
            <wp:extent cx="2466975" cy="256413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7575" cy="256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D7BF3">
      <w:pPr>
        <w:pStyle w:val="2"/>
        <w:spacing w:before="223" w:line="309" w:lineRule="auto"/>
        <w:ind w:left="543" w:right="5320"/>
      </w:pPr>
      <w:r>
        <w:rPr>
          <w:b/>
          <w:bCs/>
          <w:spacing w:val="4"/>
        </w:rPr>
        <w:t>Immunofluorescence of cells expressing MEK1</w:t>
      </w:r>
      <w:r>
        <w:rPr>
          <w:b/>
          <w:bCs/>
          <w:spacing w:val="12"/>
          <w:w w:val="10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3"/>
        </w:rPr>
        <w:t>-</w:t>
      </w:r>
      <w:r>
        <w:rPr>
          <w:b/>
          <w:bCs/>
        </w:rPr>
        <w:t>MEK</w:t>
      </w:r>
      <w:r>
        <w:rPr>
          <w:b/>
          <w:bCs/>
          <w:spacing w:val="13"/>
        </w:rPr>
        <w:t xml:space="preserve">1 (D67N) </w:t>
      </w:r>
      <w:r>
        <w:rPr>
          <w:b/>
          <w:bCs/>
        </w:rPr>
        <w:t>antibody</w:t>
      </w:r>
      <w:r>
        <w:rPr>
          <w:b/>
          <w:bCs/>
          <w:spacing w:val="13"/>
        </w:rPr>
        <w:t>.</w:t>
      </w:r>
    </w:p>
    <w:p w14:paraId="37E802EC">
      <w:pPr>
        <w:pStyle w:val="2"/>
        <w:spacing w:before="27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08FB29DE">
      <w:pPr>
        <w:pStyle w:val="2"/>
        <w:spacing w:before="122" w:line="201" w:lineRule="auto"/>
        <w:ind w:left="539"/>
      </w:pPr>
      <w:r>
        <w:t>pCDNA</w:t>
      </w:r>
      <w:r>
        <w:rPr>
          <w:spacing w:val="18"/>
        </w:rPr>
        <w:t>3-</w:t>
      </w:r>
      <w:r>
        <w:t>GFP</w:t>
      </w:r>
      <w:r>
        <w:rPr>
          <w:spacing w:val="18"/>
        </w:rPr>
        <w:t>-</w:t>
      </w:r>
      <w:r>
        <w:t>MEK</w:t>
      </w:r>
      <w:r>
        <w:rPr>
          <w:spacing w:val="18"/>
        </w:rPr>
        <w:t>1 (</w:t>
      </w:r>
      <w:r>
        <w:t>WT</w:t>
      </w:r>
      <w:r>
        <w:rPr>
          <w:spacing w:val="18"/>
        </w:rPr>
        <w:t xml:space="preserve">) </w:t>
      </w:r>
      <w:r>
        <w:t>plasmid</w:t>
      </w:r>
      <w:r>
        <w:rPr>
          <w:spacing w:val="18"/>
        </w:rPr>
        <w:t xml:space="preserve"> (</w:t>
      </w:r>
      <w:r>
        <w:t>left</w:t>
      </w:r>
    </w:p>
    <w:p w14:paraId="6D30D3F1">
      <w:pPr>
        <w:pStyle w:val="2"/>
        <w:spacing w:before="119" w:line="201" w:lineRule="auto"/>
        <w:ind w:left="547"/>
      </w:pPr>
      <w:r>
        <w:t>column</w:t>
      </w:r>
      <w:r>
        <w:rPr>
          <w:spacing w:val="11"/>
        </w:rPr>
        <w:t xml:space="preserve">) </w:t>
      </w:r>
      <w:r>
        <w:t>or</w:t>
      </w:r>
      <w:r>
        <w:rPr>
          <w:spacing w:val="11"/>
        </w:rPr>
        <w:t xml:space="preserve"> </w:t>
      </w:r>
      <w:r>
        <w:t>pCDNA</w:t>
      </w:r>
      <w:r>
        <w:rPr>
          <w:spacing w:val="11"/>
        </w:rPr>
        <w:t>3-</w:t>
      </w:r>
      <w:r>
        <w:t>GFP</w:t>
      </w:r>
      <w:r>
        <w:rPr>
          <w:spacing w:val="11"/>
        </w:rPr>
        <w:t>-</w:t>
      </w:r>
      <w:r>
        <w:t>MEK</w:t>
      </w:r>
      <w:r>
        <w:rPr>
          <w:spacing w:val="11"/>
        </w:rPr>
        <w:t>1 (D67N)</w:t>
      </w:r>
    </w:p>
    <w:p w14:paraId="66891C5E">
      <w:pPr>
        <w:pStyle w:val="2"/>
        <w:spacing w:before="121" w:line="314" w:lineRule="auto"/>
        <w:ind w:left="540" w:right="5589" w:hanging="1"/>
      </w:pPr>
      <w:r>
        <w:rPr>
          <w:spacing w:val="4"/>
        </w:rPr>
        <w:t>plasmid (right colum</w:t>
      </w:r>
      <w:r>
        <w:rPr>
          <w:spacing w:val="3"/>
        </w:rPr>
        <w:t>n), then</w:t>
      </w:r>
      <w:r>
        <w:rPr>
          <w:spacing w:val="13"/>
        </w:rPr>
        <w:t xml:space="preserve"> </w:t>
      </w:r>
      <w:r>
        <w:rPr>
          <w:spacing w:val="3"/>
        </w:rPr>
        <w:t>fixed</w:t>
      </w:r>
      <w:r>
        <w:rPr>
          <w:spacing w:val="11"/>
        </w:rPr>
        <w:t xml:space="preserve"> </w:t>
      </w:r>
      <w:r>
        <w:rPr>
          <w:spacing w:val="3"/>
        </w:rPr>
        <w:t>and</w:t>
      </w:r>
      <w:r>
        <w:rPr>
          <w:spacing w:val="11"/>
        </w:rPr>
        <w:t xml:space="preserve"> </w:t>
      </w:r>
      <w:r>
        <w:rPr>
          <w:spacing w:val="3"/>
        </w:rPr>
        <w:t>stained</w:t>
      </w:r>
      <w:r>
        <w:t xml:space="preserve">  with</w:t>
      </w:r>
      <w:r>
        <w:rPr>
          <w:spacing w:val="15"/>
        </w:rPr>
        <w:t xml:space="preserve"> </w:t>
      </w:r>
      <w:r>
        <w:t>anti</w:t>
      </w:r>
      <w:r>
        <w:rPr>
          <w:spacing w:val="15"/>
        </w:rPr>
        <w:t>-</w:t>
      </w:r>
      <w:r>
        <w:t>MEK</w:t>
      </w:r>
      <w:r>
        <w:rPr>
          <w:spacing w:val="15"/>
        </w:rPr>
        <w:t xml:space="preserve">1 (D67N) </w:t>
      </w:r>
      <w:r>
        <w:t>monoclonal</w:t>
      </w:r>
      <w:r>
        <w:rPr>
          <w:spacing w:val="15"/>
        </w:rPr>
        <w:t xml:space="preserve"> </w:t>
      </w:r>
      <w:r>
        <w:t>antibody</w:t>
      </w:r>
      <w:r>
        <w:rPr>
          <w:spacing w:val="5"/>
        </w:rPr>
        <w:t xml:space="preserve"> </w:t>
      </w:r>
      <w:r>
        <w:rPr>
          <w:spacing w:val="6"/>
        </w:rPr>
        <w:t>(</w:t>
      </w:r>
      <w:r>
        <w:t>Cat</w:t>
      </w:r>
      <w:r>
        <w:rPr>
          <w:spacing w:val="6"/>
        </w:rPr>
        <w:t>. #26224).</w:t>
      </w:r>
    </w:p>
    <w:p w14:paraId="5CE234CB">
      <w:pPr>
        <w:spacing w:line="247" w:lineRule="auto"/>
        <w:rPr>
          <w:rFonts w:ascii="Arial"/>
          <w:sz w:val="21"/>
        </w:rPr>
      </w:pPr>
    </w:p>
    <w:p w14:paraId="4DF6693B">
      <w:pPr>
        <w:spacing w:line="247" w:lineRule="auto"/>
        <w:rPr>
          <w:rFonts w:ascii="Arial"/>
          <w:sz w:val="21"/>
        </w:rPr>
      </w:pPr>
    </w:p>
    <w:p w14:paraId="51C936B0">
      <w:pPr>
        <w:spacing w:line="247" w:lineRule="auto"/>
        <w:rPr>
          <w:rFonts w:ascii="Arial"/>
          <w:sz w:val="21"/>
        </w:rPr>
      </w:pPr>
    </w:p>
    <w:p w14:paraId="3C2851DF">
      <w:pPr>
        <w:spacing w:line="248" w:lineRule="auto"/>
        <w:rPr>
          <w:rFonts w:ascii="Arial"/>
          <w:sz w:val="21"/>
        </w:rPr>
      </w:pPr>
    </w:p>
    <w:p w14:paraId="6623FE17">
      <w:pPr>
        <w:spacing w:line="248" w:lineRule="auto"/>
        <w:rPr>
          <w:rFonts w:ascii="Arial"/>
          <w:sz w:val="21"/>
        </w:rPr>
      </w:pPr>
    </w:p>
    <w:p w14:paraId="0118354E">
      <w:pPr>
        <w:spacing w:line="248" w:lineRule="auto"/>
        <w:rPr>
          <w:rFonts w:ascii="Arial"/>
          <w:sz w:val="21"/>
        </w:rPr>
      </w:pPr>
    </w:p>
    <w:p w14:paraId="18D3A9CE">
      <w:pPr>
        <w:spacing w:line="248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720473A4">
      <w:pPr>
        <w:spacing w:line="248" w:lineRule="auto"/>
        <w:rPr>
          <w:rFonts w:ascii="Arial"/>
          <w:sz w:val="21"/>
        </w:rPr>
      </w:pPr>
      <w:bookmarkStart w:id="0" w:name="_GoBack"/>
      <w:bookmarkEnd w:id="0"/>
    </w:p>
    <w:p w14:paraId="0117BA90">
      <w:pPr>
        <w:spacing w:line="248" w:lineRule="auto"/>
        <w:rPr>
          <w:rFonts w:ascii="Arial"/>
          <w:sz w:val="21"/>
        </w:rPr>
      </w:pPr>
    </w:p>
    <w:p w14:paraId="1C0AEC79">
      <w:pPr>
        <w:spacing w:line="248" w:lineRule="auto"/>
        <w:rPr>
          <w:rFonts w:ascii="Arial"/>
          <w:sz w:val="21"/>
        </w:rPr>
      </w:pPr>
    </w:p>
    <w:p w14:paraId="559DFB51">
      <w:pPr>
        <w:spacing w:line="248" w:lineRule="auto"/>
        <w:rPr>
          <w:rFonts w:ascii="Arial"/>
          <w:sz w:val="21"/>
        </w:rPr>
      </w:pPr>
    </w:p>
    <w:p w14:paraId="31D68235">
      <w:pPr>
        <w:spacing w:line="248" w:lineRule="auto"/>
        <w:rPr>
          <w:rFonts w:ascii="Arial"/>
          <w:sz w:val="21"/>
        </w:rPr>
      </w:pPr>
    </w:p>
    <w:p w14:paraId="2CDD80C2">
      <w:pPr>
        <w:spacing w:line="248" w:lineRule="auto"/>
        <w:rPr>
          <w:rFonts w:ascii="Arial"/>
          <w:sz w:val="21"/>
        </w:rPr>
      </w:pPr>
    </w:p>
    <w:p w14:paraId="6225DB57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CD0B1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1F20F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264</Words>
  <Characters>1750</Characters>
  <TotalTime>0</TotalTime>
  <ScaleCrop>false</ScaleCrop>
  <LinksUpToDate>false</LinksUpToDate>
  <CharactersWithSpaces>2019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2015-10-12T09:23:00Z</dcterms:created>
  <dc:creator>Limin Wang</dc:creator>
  <cp:lastModifiedBy>周亿福</cp:lastModifiedBy>
  <dcterms:modified xsi:type="dcterms:W3CDTF">2025-08-14T06:34:41Z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C2832195736041B7A3F7542FB09D599E_12</vt:lpwstr>
  </property>
</Properties>
</file>